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0730" w14:textId="3B638923" w:rsidR="005F2008" w:rsidRPr="00CE6CAF" w:rsidRDefault="00B0663F" w:rsidP="00E26BB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Додаток 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>№3</w:t>
      </w:r>
    </w:p>
    <w:p w14:paraId="6B6FDABD" w14:textId="76610CEA" w:rsidR="00B0663F" w:rsidRPr="00CE6CAF" w:rsidRDefault="00B0663F" w:rsidP="00E26BB5">
      <w:pPr>
        <w:spacing w:after="0" w:line="240" w:lineRule="auto"/>
        <w:ind w:left="4536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F2008" w:rsidRPr="00CE6CAF">
        <w:rPr>
          <w:rFonts w:ascii="Times New Roman" w:hAnsi="Times New Roman"/>
          <w:bCs/>
          <w:sz w:val="24"/>
          <w:szCs w:val="24"/>
          <w:lang w:val="uk-UA"/>
        </w:rPr>
        <w:t>до рішення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сесії</w:t>
      </w:r>
      <w:r w:rsidR="005F2008"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97AD0" w:rsidRPr="00CE6CAF">
        <w:rPr>
          <w:rFonts w:ascii="Times New Roman" w:hAnsi="Times New Roman"/>
          <w:bCs/>
          <w:sz w:val="24"/>
          <w:szCs w:val="24"/>
          <w:lang w:val="uk-UA"/>
        </w:rPr>
        <w:t xml:space="preserve">Саранської </w:t>
      </w:r>
      <w:r w:rsidR="00B309BD" w:rsidRPr="00CE6CAF">
        <w:rPr>
          <w:rFonts w:ascii="Times New Roman" w:hAnsi="Times New Roman"/>
          <w:bCs/>
          <w:sz w:val="24"/>
          <w:szCs w:val="24"/>
          <w:lang w:val="uk-UA"/>
        </w:rPr>
        <w:t>селищн</w:t>
      </w:r>
      <w:r w:rsidR="00497AD0" w:rsidRPr="00CE6CAF">
        <w:rPr>
          <w:rFonts w:ascii="Times New Roman" w:hAnsi="Times New Roman"/>
          <w:bCs/>
          <w:sz w:val="24"/>
          <w:szCs w:val="24"/>
          <w:lang w:val="uk-UA"/>
        </w:rPr>
        <w:t xml:space="preserve">ої ради </w:t>
      </w:r>
    </w:p>
    <w:p w14:paraId="521C863E" w14:textId="71E0CCFB" w:rsidR="005F2008" w:rsidRPr="00E26BB5" w:rsidRDefault="00B0663F" w:rsidP="00E26BB5">
      <w:pPr>
        <w:spacing w:after="0" w:line="240" w:lineRule="auto"/>
        <w:ind w:left="4536"/>
        <w:jc w:val="right"/>
        <w:rPr>
          <w:rFonts w:ascii="Times New Roman" w:hAnsi="Times New Roman"/>
          <w:bCs/>
          <w:sz w:val="24"/>
          <w:szCs w:val="24"/>
          <w:lang w:val="en-US"/>
        </w:rPr>
      </w:pP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від </w:t>
      </w:r>
      <w:r w:rsidR="00E26BB5">
        <w:rPr>
          <w:rFonts w:ascii="Times New Roman" w:hAnsi="Times New Roman"/>
          <w:bCs/>
          <w:sz w:val="24"/>
          <w:szCs w:val="24"/>
          <w:lang w:val="en-US"/>
        </w:rPr>
        <w:t xml:space="preserve">21 </w:t>
      </w:r>
      <w:r w:rsidR="00E26BB5">
        <w:rPr>
          <w:rFonts w:ascii="Times New Roman" w:hAnsi="Times New Roman"/>
          <w:bCs/>
          <w:sz w:val="24"/>
          <w:szCs w:val="24"/>
          <w:lang w:val="uk-UA"/>
        </w:rPr>
        <w:t>листопада</w:t>
      </w:r>
      <w:r w:rsidR="008D463D" w:rsidRPr="00CE6CAF">
        <w:rPr>
          <w:rFonts w:ascii="Times New Roman" w:hAnsi="Times New Roman"/>
          <w:bCs/>
          <w:sz w:val="24"/>
          <w:szCs w:val="24"/>
          <w:lang w:val="uk-UA"/>
        </w:rPr>
        <w:t xml:space="preserve"> 2024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року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 № </w:t>
      </w:r>
      <w:r w:rsidR="00E26BB5">
        <w:rPr>
          <w:rFonts w:ascii="Times New Roman" w:hAnsi="Times New Roman"/>
          <w:bCs/>
          <w:sz w:val="24"/>
          <w:szCs w:val="24"/>
          <w:lang w:val="uk-UA"/>
        </w:rPr>
        <w:t>2889-</w:t>
      </w:r>
      <w:r w:rsidR="00E26BB5">
        <w:rPr>
          <w:rFonts w:ascii="Times New Roman" w:hAnsi="Times New Roman"/>
          <w:bCs/>
          <w:sz w:val="24"/>
          <w:szCs w:val="24"/>
          <w:lang w:val="en-US"/>
        </w:rPr>
        <w:t>VIII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20F219A9" w:rsidR="00987EAA" w:rsidRPr="00E26BB5" w:rsidRDefault="00E26BB5" w:rsidP="00987EAA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E26BB5">
        <w:rPr>
          <w:rFonts w:ascii="Times New Roman" w:hAnsi="Times New Roman"/>
          <w:bCs/>
          <w:sz w:val="27"/>
          <w:szCs w:val="27"/>
          <w:lang w:val="uk-UA"/>
        </w:rPr>
        <w:t>с-ще</w:t>
      </w:r>
      <w:r w:rsidR="00497AD0" w:rsidRPr="00E26BB5">
        <w:rPr>
          <w:rFonts w:ascii="Times New Roman" w:hAnsi="Times New Roman"/>
          <w:bCs/>
          <w:sz w:val="27"/>
          <w:szCs w:val="27"/>
          <w:lang w:val="uk-UA"/>
        </w:rPr>
        <w:t xml:space="preserve"> Саврань</w:t>
      </w:r>
      <w:r w:rsidR="00987EAA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                     </w:t>
      </w:r>
      <w:r w:rsidR="00497AD0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="00987EAA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               </w:t>
      </w:r>
      <w:r w:rsidR="00B0663F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   </w:t>
      </w:r>
      <w:r w:rsidR="00684D8F" w:rsidRPr="00E26BB5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B0663F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="006355EB" w:rsidRPr="00E26BB5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8D463D" w:rsidRPr="00E26BB5">
        <w:rPr>
          <w:rFonts w:ascii="Times New Roman" w:hAnsi="Times New Roman"/>
          <w:bCs/>
          <w:sz w:val="27"/>
          <w:szCs w:val="27"/>
          <w:lang w:val="uk-UA"/>
        </w:rPr>
        <w:t>«___</w:t>
      </w:r>
      <w:r w:rsidR="00684D8F" w:rsidRPr="00E26BB5">
        <w:rPr>
          <w:rFonts w:ascii="Times New Roman" w:hAnsi="Times New Roman"/>
          <w:bCs/>
          <w:sz w:val="27"/>
          <w:szCs w:val="27"/>
          <w:lang w:val="uk-UA"/>
        </w:rPr>
        <w:t>_</w:t>
      </w:r>
      <w:r w:rsidR="008D463D" w:rsidRPr="00E26BB5">
        <w:rPr>
          <w:rFonts w:ascii="Times New Roman" w:hAnsi="Times New Roman"/>
          <w:bCs/>
          <w:sz w:val="27"/>
          <w:szCs w:val="27"/>
          <w:lang w:val="uk-UA"/>
        </w:rPr>
        <w:t>» ____________ 2024</w:t>
      </w:r>
      <w:r w:rsidR="00987EAA" w:rsidRPr="00E26BB5">
        <w:rPr>
          <w:rFonts w:ascii="Times New Roman" w:hAnsi="Times New Roman"/>
          <w:bCs/>
          <w:sz w:val="27"/>
          <w:szCs w:val="27"/>
          <w:lang w:val="uk-UA"/>
        </w:rPr>
        <w:t xml:space="preserve"> року </w:t>
      </w:r>
    </w:p>
    <w:p w14:paraId="283945CB" w14:textId="77777777" w:rsidR="00987EAA" w:rsidRPr="00E26BB5" w:rsidRDefault="00987EAA" w:rsidP="00987EAA">
      <w:pPr>
        <w:spacing w:after="0" w:line="240" w:lineRule="auto"/>
        <w:jc w:val="both"/>
        <w:rPr>
          <w:rFonts w:ascii="Times New Roman" w:hAnsi="Times New Roman"/>
          <w:bCs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Умови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цього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зберігають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свою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чинність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E33D98" w:rsidRPr="00E33D98">
        <w:rPr>
          <w:rFonts w:ascii="Times New Roman" w:hAnsi="Times New Roman"/>
          <w:sz w:val="27"/>
          <w:szCs w:val="27"/>
        </w:rPr>
        <w:t>на строк</w:t>
      </w:r>
      <w:proofErr w:type="gram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його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дії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, коли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після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набуття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чинності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договором,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інші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правила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ніж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передбачені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кумулятивно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Кі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731E2">
        <w:rPr>
          <w:rFonts w:ascii="Times New Roman" w:hAnsi="Times New Roman"/>
          <w:sz w:val="27"/>
          <w:szCs w:val="27"/>
        </w:rPr>
        <w:t>Розмір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орендної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плати не </w:t>
      </w:r>
      <w:proofErr w:type="spellStart"/>
      <w:r w:rsidRPr="000731E2">
        <w:rPr>
          <w:rFonts w:ascii="Times New Roman" w:hAnsi="Times New Roman"/>
          <w:sz w:val="27"/>
          <w:szCs w:val="27"/>
        </w:rPr>
        <w:t>може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переглядатися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0731E2">
        <w:rPr>
          <w:rFonts w:ascii="Times New Roman" w:hAnsi="Times New Roman"/>
          <w:sz w:val="27"/>
          <w:szCs w:val="27"/>
        </w:rPr>
        <w:t>бік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зменшення</w:t>
      </w:r>
      <w:proofErr w:type="spellEnd"/>
      <w:r w:rsidRPr="000731E2">
        <w:rPr>
          <w:rFonts w:ascii="Times New Roman" w:hAnsi="Times New Roman"/>
          <w:sz w:val="27"/>
          <w:szCs w:val="27"/>
        </w:rPr>
        <w:t>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непридатний для використання за цільовим призначенням стан збитки, що </w:t>
      </w:r>
      <w:r w:rsidRPr="007D4985">
        <w:rPr>
          <w:rFonts w:ascii="Times New Roman" w:hAnsi="Times New Roman"/>
          <w:sz w:val="27"/>
          <w:szCs w:val="27"/>
          <w:lang w:val="uk-UA"/>
        </w:rPr>
        <w:lastRenderedPageBreak/>
        <w:t>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раціонального використання та охорони земель, збереження та відтворення родючості </w:t>
      </w:r>
      <w:proofErr w:type="spellStart"/>
      <w:r w:rsidR="004A76F9" w:rsidRPr="004B00AE">
        <w:rPr>
          <w:rFonts w:ascii="Times New Roman" w:hAnsi="Times New Roman"/>
          <w:sz w:val="27"/>
          <w:szCs w:val="27"/>
          <w:lang w:val="uk-UA"/>
        </w:rPr>
        <w:t>грунтів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Реорганізація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юридичної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особи –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Орендаря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не є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підставою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для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зміни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умов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цього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або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його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розірвання</w:t>
      </w:r>
      <w:proofErr w:type="spellEnd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E26BB5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E26BB5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E26BB5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E26BB5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Савранська </w:t>
            </w:r>
            <w:r w:rsidR="00B309BD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селищна</w:t>
            </w: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рада</w:t>
            </w:r>
            <w:r w:rsidR="00B0663F" w:rsidRPr="00E26BB5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E26BB5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Pr="00E26BB5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Pr="00E26BB5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Код ЄДРПОУ _____________________</w:t>
            </w:r>
          </w:p>
          <w:p w14:paraId="3A3F01A7" w14:textId="28E167CC" w:rsidR="007A1ADB" w:rsidRPr="00E26BB5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Рахунок</w:t>
            </w:r>
            <w:r w:rsidR="007A1ADB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E26B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E26BB5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  <w:r w:rsidR="00F072C0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557571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557571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19AD1D9C" w14:textId="77777777" w:rsidR="00557571" w:rsidRPr="00E26B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E26B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Pr="00E26BB5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1420C458" w14:textId="77777777" w:rsidR="009A3CFB" w:rsidRPr="00E26BB5" w:rsidRDefault="009A3CFB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1542F6" w14:textId="0323EBFC" w:rsidR="008452D4" w:rsidRPr="00E26BB5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</w:t>
            </w:r>
            <w:r w:rsidR="00FF62AC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E26BB5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2113B36F" w14:textId="5D4A42A2" w:rsidR="00B0663F" w:rsidRPr="00E26BB5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73650D8A" w14:textId="0107C8D3" w:rsidR="00B0663F" w:rsidRPr="00E26BB5" w:rsidRDefault="00B0663F" w:rsidP="009A3CFB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F18186" w14:textId="15E812F7" w:rsidR="00B0663F" w:rsidRPr="00E26BB5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B0663F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B0663F" w:rsidRPr="00E26BB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7E128664" w14:textId="2FC90806" w:rsidR="00557571" w:rsidRPr="00E26BB5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14:paraId="3A7680D3" w14:textId="02CF3700" w:rsidR="002D247C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0E8CB45" w14:textId="42884DE9" w:rsidR="00E26BB5" w:rsidRPr="00E26BB5" w:rsidRDefault="00E26BB5" w:rsidP="00E26BB5">
      <w:pPr>
        <w:rPr>
          <w:rFonts w:ascii="Times New Roman" w:hAnsi="Times New Roman"/>
          <w:sz w:val="28"/>
          <w:szCs w:val="28"/>
          <w:lang w:val="uk-UA" w:eastAsia="ru-RU"/>
        </w:rPr>
      </w:pPr>
      <w:r w:rsidRPr="00E26BB5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</w:t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</w:t>
      </w:r>
      <w:r w:rsidRPr="00E26BB5">
        <w:rPr>
          <w:rFonts w:ascii="Times New Roman" w:hAnsi="Times New Roman"/>
          <w:sz w:val="28"/>
          <w:szCs w:val="28"/>
          <w:lang w:val="uk-UA"/>
        </w:rPr>
        <w:t>Олег ЖИРУН</w:t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</w:r>
      <w:r w:rsidRPr="00E26BB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</w:t>
      </w:r>
    </w:p>
    <w:p w14:paraId="48B57F5C" w14:textId="77777777" w:rsidR="00E26BB5" w:rsidRPr="00BF46F0" w:rsidRDefault="00E26BB5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E26BB5" w:rsidRPr="00BF46F0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7C955" w14:textId="77777777" w:rsidR="002F1555" w:rsidRDefault="002F1555">
      <w:pPr>
        <w:spacing w:after="0" w:line="240" w:lineRule="auto"/>
      </w:pPr>
      <w:r>
        <w:separator/>
      </w:r>
    </w:p>
  </w:endnote>
  <w:endnote w:type="continuationSeparator" w:id="0">
    <w:p w14:paraId="73F0DC2A" w14:textId="77777777" w:rsidR="002F1555" w:rsidRDefault="002F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CF0C" w14:textId="77777777" w:rsidR="002F1555" w:rsidRDefault="002F1555">
      <w:pPr>
        <w:spacing w:after="0" w:line="240" w:lineRule="auto"/>
      </w:pPr>
      <w:r>
        <w:separator/>
      </w:r>
    </w:p>
  </w:footnote>
  <w:footnote w:type="continuationSeparator" w:id="0">
    <w:p w14:paraId="061DA21C" w14:textId="77777777" w:rsidR="002F1555" w:rsidRDefault="002F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712D3586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CFB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5EF6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1555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A3CF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E7BD4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E6CAF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26BB5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2770</Words>
  <Characters>15792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2</cp:revision>
  <cp:lastPrinted>2023-06-15T15:05:00Z</cp:lastPrinted>
  <dcterms:created xsi:type="dcterms:W3CDTF">2024-11-21T09:32:00Z</dcterms:created>
  <dcterms:modified xsi:type="dcterms:W3CDTF">2024-11-21T09:32:00Z</dcterms:modified>
</cp:coreProperties>
</file>